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6D" w:rsidRPr="00AA562C" w:rsidRDefault="00E1606D">
      <w:pPr>
        <w:rPr>
          <w:rFonts w:ascii="Times New Roman" w:hAnsi="Times New Roman"/>
          <w:b/>
          <w:sz w:val="22"/>
        </w:rPr>
      </w:pPr>
      <w:r w:rsidRPr="00AA562C">
        <w:rPr>
          <w:rFonts w:ascii="Times New Roman" w:hAnsi="Times New Roman"/>
          <w:b/>
          <w:sz w:val="22"/>
        </w:rPr>
        <w:t>Question: Canada combines federalism with Westminster parliamentary government. What effects does each have on the other?</w:t>
      </w:r>
    </w:p>
    <w:p w:rsidR="00800DA6" w:rsidRDefault="005955C8" w:rsidP="005955C8">
      <w:pPr>
        <w:rPr>
          <w:rFonts w:ascii="Times New Roman" w:hAnsi="Times New Roman"/>
          <w:sz w:val="22"/>
        </w:rPr>
      </w:pPr>
      <w:r>
        <w:rPr>
          <w:rFonts w:ascii="Times New Roman" w:hAnsi="Times New Roman"/>
          <w:sz w:val="22"/>
        </w:rPr>
        <w:tab/>
        <w:t>Canada’s combination of federalism with the Westminster parliamentary system has a number of outcomes. It is difficult, in this manner, to suggest an overall direction to the way in which this relationship has evolved, but suffice it to say, that the relationship has been reciprocal, implicating the others. For the purposes of this essay, the question will be considered first by looking at some of the institutional considerations that federalism has played in the development of Westminster parliamentary conventions, and will then turn to how the evolution of this system to an increasingly executive-focused system has implicated the evolution of process federalism and the development of intergovernmental relations in Canada.</w:t>
      </w:r>
    </w:p>
    <w:p w:rsidR="00CB463D" w:rsidRPr="003478DF" w:rsidRDefault="00800DA6" w:rsidP="00CB463D">
      <w:pPr>
        <w:ind w:firstLine="720"/>
        <w:rPr>
          <w:rFonts w:ascii="Times New Roman" w:hAnsi="Times New Roman"/>
          <w:sz w:val="22"/>
        </w:rPr>
      </w:pPr>
      <w:r>
        <w:rPr>
          <w:rFonts w:ascii="Times New Roman" w:hAnsi="Times New Roman"/>
          <w:sz w:val="22"/>
        </w:rPr>
        <w:t xml:space="preserve">The Westminster parliamentary system has built into it conventions that complement the ideals of federalism. </w:t>
      </w:r>
      <w:r w:rsidR="003478DF">
        <w:rPr>
          <w:rFonts w:ascii="Times New Roman" w:hAnsi="Times New Roman"/>
          <w:sz w:val="22"/>
        </w:rPr>
        <w:t xml:space="preserve">Within federal systems, regional interests are managed through two types of distribution in power. The first – </w:t>
      </w:r>
      <w:r w:rsidR="003478DF" w:rsidRPr="003478DF">
        <w:rPr>
          <w:rFonts w:ascii="Times New Roman" w:hAnsi="Times New Roman"/>
          <w:i/>
          <w:sz w:val="22"/>
        </w:rPr>
        <w:t>inter</w:t>
      </w:r>
      <w:r w:rsidR="003478DF">
        <w:rPr>
          <w:rFonts w:ascii="Times New Roman" w:hAnsi="Times New Roman"/>
          <w:sz w:val="22"/>
        </w:rPr>
        <w:t xml:space="preserve">state federalism – includes the distribution of powers and financial resources between the federal and provincial governments, as well as the relations between these two orders of governments. The second – </w:t>
      </w:r>
      <w:r w:rsidR="003478DF" w:rsidRPr="003478DF">
        <w:rPr>
          <w:rFonts w:ascii="Times New Roman" w:hAnsi="Times New Roman"/>
          <w:i/>
          <w:sz w:val="22"/>
        </w:rPr>
        <w:t>intra</w:t>
      </w:r>
      <w:r w:rsidR="003478DF">
        <w:rPr>
          <w:rFonts w:ascii="Times New Roman" w:hAnsi="Times New Roman"/>
          <w:sz w:val="22"/>
        </w:rPr>
        <w:t>state federalism – is the arrangements by which the interests of regional units (the government or citizens of this units</w:t>
      </w:r>
      <w:proofErr w:type="gramStart"/>
      <w:r w:rsidR="003478DF">
        <w:rPr>
          <w:rFonts w:ascii="Times New Roman" w:hAnsi="Times New Roman"/>
          <w:sz w:val="22"/>
        </w:rPr>
        <w:t>),</w:t>
      </w:r>
      <w:proofErr w:type="gramEnd"/>
      <w:r w:rsidR="003478DF">
        <w:rPr>
          <w:rFonts w:ascii="Times New Roman" w:hAnsi="Times New Roman"/>
          <w:sz w:val="22"/>
        </w:rPr>
        <w:t xml:space="preserve"> are channeled through and protected by the structures and operations of the central government (Smiley and Watts, 1985). </w:t>
      </w:r>
      <w:r>
        <w:rPr>
          <w:rFonts w:ascii="Times New Roman" w:hAnsi="Times New Roman"/>
          <w:sz w:val="22"/>
        </w:rPr>
        <w:t xml:space="preserve">In particular, </w:t>
      </w:r>
      <w:r w:rsidRPr="00861C4A">
        <w:rPr>
          <w:rFonts w:ascii="Times New Roman" w:hAnsi="Times New Roman"/>
          <w:sz w:val="22"/>
        </w:rPr>
        <w:t>intrastate</w:t>
      </w:r>
      <w:r w:rsidR="00861C4A" w:rsidRPr="00861C4A">
        <w:rPr>
          <w:rFonts w:ascii="Times New Roman" w:hAnsi="Times New Roman"/>
          <w:b/>
          <w:sz w:val="22"/>
        </w:rPr>
        <w:t xml:space="preserve"> </w:t>
      </w:r>
      <w:r>
        <w:rPr>
          <w:rFonts w:ascii="Times New Roman" w:hAnsi="Times New Roman"/>
          <w:sz w:val="22"/>
        </w:rPr>
        <w:t xml:space="preserve">federalism is ensured through the regional representation in the Senate, as well as the convention of regional representation within the cabinet as appointed by the Prime Minister. Though this particular norm constrains the </w:t>
      </w:r>
      <w:r w:rsidR="005955C8">
        <w:rPr>
          <w:rFonts w:ascii="Times New Roman" w:hAnsi="Times New Roman"/>
          <w:sz w:val="22"/>
        </w:rPr>
        <w:t>ability of the Prime Minister to appoint without consideration of regional (as well as other representational) interests</w:t>
      </w:r>
      <w:r w:rsidR="00CB463D">
        <w:rPr>
          <w:rFonts w:ascii="Times New Roman" w:hAnsi="Times New Roman"/>
          <w:sz w:val="22"/>
        </w:rPr>
        <w:t>, there are significant doubts regarding the ability of ministers to act in a way that reflects the regional interests of their constituencies.</w:t>
      </w:r>
      <w:r w:rsidR="003478DF">
        <w:rPr>
          <w:rFonts w:ascii="Times New Roman" w:hAnsi="Times New Roman"/>
          <w:sz w:val="22"/>
        </w:rPr>
        <w:t xml:space="preserve"> The evolution of intrastate federalism, as a result of evolutions of the Westminster parliamentary system, and new understandings of how the system works within Canadian politics, has resulted in a shift of power and influence </w:t>
      </w:r>
      <w:r w:rsidR="003478DF">
        <w:rPr>
          <w:rFonts w:ascii="Times New Roman" w:hAnsi="Times New Roman"/>
          <w:i/>
          <w:sz w:val="22"/>
        </w:rPr>
        <w:t>away</w:t>
      </w:r>
      <w:r w:rsidR="003478DF">
        <w:rPr>
          <w:rFonts w:ascii="Times New Roman" w:hAnsi="Times New Roman"/>
          <w:sz w:val="22"/>
        </w:rPr>
        <w:t xml:space="preserve"> from intrastate federalism, and </w:t>
      </w:r>
      <w:r w:rsidR="003478DF">
        <w:rPr>
          <w:rFonts w:ascii="Times New Roman" w:hAnsi="Times New Roman"/>
          <w:i/>
          <w:sz w:val="22"/>
        </w:rPr>
        <w:t>toward</w:t>
      </w:r>
      <w:r w:rsidR="003478DF">
        <w:rPr>
          <w:rFonts w:ascii="Times New Roman" w:hAnsi="Times New Roman"/>
          <w:sz w:val="22"/>
        </w:rPr>
        <w:t xml:space="preserve"> interstate federalism.</w:t>
      </w:r>
    </w:p>
    <w:p w:rsidR="00CB463D" w:rsidRDefault="00CB463D" w:rsidP="00CB463D">
      <w:pPr>
        <w:ind w:firstLine="720"/>
        <w:rPr>
          <w:rFonts w:ascii="Times New Roman" w:hAnsi="Times New Roman"/>
          <w:sz w:val="22"/>
        </w:rPr>
      </w:pPr>
      <w:r>
        <w:rPr>
          <w:rFonts w:ascii="Times New Roman" w:hAnsi="Times New Roman"/>
          <w:sz w:val="22"/>
        </w:rPr>
        <w:t xml:space="preserve">There are two trends in Westminster parliamentary politics that implicate this view. The first is what </w:t>
      </w:r>
      <w:proofErr w:type="spellStart"/>
      <w:r>
        <w:rPr>
          <w:rFonts w:ascii="Times New Roman" w:hAnsi="Times New Roman"/>
          <w:sz w:val="22"/>
        </w:rPr>
        <w:t>Savoie</w:t>
      </w:r>
      <w:proofErr w:type="spellEnd"/>
      <w:r>
        <w:rPr>
          <w:rFonts w:ascii="Times New Roman" w:hAnsi="Times New Roman"/>
          <w:sz w:val="22"/>
        </w:rPr>
        <w:t xml:space="preserve"> terms, the evolution of court government (a thesis that is not entirely divorced from his arguments with respect to </w:t>
      </w:r>
      <w:r>
        <w:rPr>
          <w:rFonts w:ascii="Times New Roman" w:hAnsi="Times New Roman"/>
          <w:i/>
          <w:sz w:val="22"/>
        </w:rPr>
        <w:t>Governing from the Centre</w:t>
      </w:r>
      <w:r>
        <w:rPr>
          <w:rFonts w:ascii="Times New Roman" w:hAnsi="Times New Roman"/>
          <w:sz w:val="22"/>
        </w:rPr>
        <w:t xml:space="preserve">). </w:t>
      </w:r>
      <w:r w:rsidR="00E1606D">
        <w:rPr>
          <w:rFonts w:ascii="Times New Roman" w:hAnsi="Times New Roman"/>
          <w:sz w:val="22"/>
        </w:rPr>
        <w:t>The Westminster parliamentary system is, by its very nature, characterized by the extensive concentration of power in the center of gove</w:t>
      </w:r>
      <w:r>
        <w:rPr>
          <w:rFonts w:ascii="Times New Roman" w:hAnsi="Times New Roman"/>
          <w:sz w:val="22"/>
        </w:rPr>
        <w:t xml:space="preserve">rnment (White, unpublished ms), yet as </w:t>
      </w:r>
      <w:proofErr w:type="spellStart"/>
      <w:r>
        <w:rPr>
          <w:rFonts w:ascii="Times New Roman" w:hAnsi="Times New Roman"/>
          <w:sz w:val="22"/>
        </w:rPr>
        <w:t>Savoie</w:t>
      </w:r>
      <w:proofErr w:type="spellEnd"/>
      <w:r>
        <w:rPr>
          <w:rFonts w:ascii="Times New Roman" w:hAnsi="Times New Roman"/>
          <w:sz w:val="22"/>
        </w:rPr>
        <w:t xml:space="preserve"> sees it, the evolution of court government allows for a strengthening of power in the hands of just a few key advisors and the Prime Minister. This model is characterized by a few key considerations: (1) first, court government allows for quick and unencumbered access to the levels of </w:t>
      </w:r>
      <w:proofErr w:type="gramStart"/>
      <w:r>
        <w:rPr>
          <w:rFonts w:ascii="Times New Roman" w:hAnsi="Times New Roman"/>
          <w:sz w:val="22"/>
        </w:rPr>
        <w:t>power</w:t>
      </w:r>
      <w:proofErr w:type="gramEnd"/>
      <w:r>
        <w:rPr>
          <w:rFonts w:ascii="Times New Roman" w:hAnsi="Times New Roman"/>
          <w:sz w:val="22"/>
        </w:rPr>
        <w:t xml:space="preserve"> that allow policy to happen quickly; (2) court government suits the Prime Minister and his/her courtiers because it enables them to manage more efficiently, see results, and control the news and media messages more easily; (3) within court government, not all ministers are created equally; and (4) court government centralizes power into the hands of a few important ministers and </w:t>
      </w:r>
      <w:proofErr w:type="spellStart"/>
      <w:r>
        <w:rPr>
          <w:rFonts w:ascii="Times New Roman" w:hAnsi="Times New Roman"/>
          <w:sz w:val="22"/>
        </w:rPr>
        <w:t>DMs</w:t>
      </w:r>
      <w:proofErr w:type="spellEnd"/>
      <w:r>
        <w:rPr>
          <w:rFonts w:ascii="Times New Roman" w:hAnsi="Times New Roman"/>
          <w:sz w:val="22"/>
        </w:rPr>
        <w:t xml:space="preserve">. </w:t>
      </w:r>
    </w:p>
    <w:p w:rsidR="00AA291E" w:rsidRDefault="00CB463D" w:rsidP="00CB463D">
      <w:pPr>
        <w:ind w:firstLine="720"/>
        <w:rPr>
          <w:rFonts w:ascii="Times New Roman" w:hAnsi="Times New Roman"/>
          <w:sz w:val="22"/>
        </w:rPr>
      </w:pPr>
      <w:r>
        <w:rPr>
          <w:rFonts w:ascii="Times New Roman" w:hAnsi="Times New Roman"/>
          <w:sz w:val="22"/>
        </w:rPr>
        <w:t xml:space="preserve">These last two points are particularly important to implications as they relate to federalism. What began as an informal meeting of ministers (Weller 2003) has evolved into a highly politicized space, and one where few ministers have real influence (as </w:t>
      </w:r>
      <w:proofErr w:type="spellStart"/>
      <w:r>
        <w:rPr>
          <w:rFonts w:ascii="Times New Roman" w:hAnsi="Times New Roman"/>
          <w:sz w:val="22"/>
        </w:rPr>
        <w:t>Savoie</w:t>
      </w:r>
      <w:proofErr w:type="spellEnd"/>
      <w:r>
        <w:rPr>
          <w:rFonts w:ascii="Times New Roman" w:hAnsi="Times New Roman"/>
          <w:sz w:val="22"/>
        </w:rPr>
        <w:t xml:space="preserve"> would see it)</w:t>
      </w:r>
      <w:proofErr w:type="gramStart"/>
      <w:r>
        <w:rPr>
          <w:rFonts w:ascii="Times New Roman" w:hAnsi="Times New Roman"/>
          <w:sz w:val="22"/>
        </w:rPr>
        <w:t>.</w:t>
      </w:r>
      <w:proofErr w:type="gramEnd"/>
      <w:r>
        <w:rPr>
          <w:rFonts w:ascii="Times New Roman" w:hAnsi="Times New Roman"/>
          <w:sz w:val="22"/>
        </w:rPr>
        <w:t xml:space="preserve"> Though cabinet government, as Weller notes, was never truly a case of </w:t>
      </w:r>
      <w:r>
        <w:rPr>
          <w:rFonts w:ascii="Times New Roman" w:hAnsi="Times New Roman"/>
          <w:i/>
          <w:sz w:val="22"/>
        </w:rPr>
        <w:t>primus inter pares</w:t>
      </w:r>
      <w:r>
        <w:rPr>
          <w:rFonts w:ascii="Times New Roman" w:hAnsi="Times New Roman"/>
          <w:sz w:val="22"/>
        </w:rPr>
        <w:t xml:space="preserve">, </w:t>
      </w:r>
      <w:r w:rsidR="001B6ECB">
        <w:rPr>
          <w:rFonts w:ascii="Times New Roman" w:hAnsi="Times New Roman"/>
          <w:sz w:val="22"/>
        </w:rPr>
        <w:t>it has been argued by some that cabinet is no longer really a place for regional issues to come to the for</w:t>
      </w:r>
      <w:r w:rsidR="00AA291E">
        <w:rPr>
          <w:rFonts w:ascii="Times New Roman" w:hAnsi="Times New Roman"/>
          <w:sz w:val="22"/>
        </w:rPr>
        <w:t xml:space="preserve">e. Feeding into this argument, is our increasing understanding of how members of parliament, and ministers, act within the legislative system. Presumably, regional differences in the legislature underlie some key differences in policy opinion within a party (in power, or otherwise), so it would be reasonable to expect that regional differences implicate ideological differences. In this view, then, it is possible to apply some of Christopher </w:t>
      </w:r>
      <w:proofErr w:type="spellStart"/>
      <w:r w:rsidR="00AA291E">
        <w:rPr>
          <w:rFonts w:ascii="Times New Roman" w:hAnsi="Times New Roman"/>
          <w:sz w:val="22"/>
        </w:rPr>
        <w:t>Kam’s</w:t>
      </w:r>
      <w:proofErr w:type="spellEnd"/>
      <w:r w:rsidR="00AA291E">
        <w:rPr>
          <w:rFonts w:ascii="Times New Roman" w:hAnsi="Times New Roman"/>
          <w:sz w:val="22"/>
        </w:rPr>
        <w:t xml:space="preserve"> key findings regarding MP behaviour – and specifically, the implications of the LEADS model within the Westminster system, and how this may work to undermine the ability of MPs to dissent based on regionally-based ideological differences. </w:t>
      </w:r>
    </w:p>
    <w:p w:rsidR="00E05BB3" w:rsidRDefault="00AA291E" w:rsidP="00AA291E">
      <w:pPr>
        <w:ind w:firstLine="720"/>
        <w:rPr>
          <w:rFonts w:ascii="Times New Roman" w:hAnsi="Times New Roman"/>
          <w:sz w:val="22"/>
        </w:rPr>
      </w:pPr>
      <w:proofErr w:type="spellStart"/>
      <w:r>
        <w:rPr>
          <w:rFonts w:ascii="Times New Roman" w:hAnsi="Times New Roman"/>
          <w:sz w:val="22"/>
        </w:rPr>
        <w:t>Kam’s</w:t>
      </w:r>
      <w:proofErr w:type="spellEnd"/>
      <w:r>
        <w:rPr>
          <w:rFonts w:ascii="Times New Roman" w:hAnsi="Times New Roman"/>
          <w:sz w:val="22"/>
        </w:rPr>
        <w:t xml:space="preserve"> model – Loyalty Elicited though Advancement, Discipline, and Socialization – suggests intraparty dissent may be hampered through leader’s taking advantage of MPs’ progressive ambitions. Unlike in other systems, within the Westminster system, leaders have monopoly control over who to appoint to cabinet (minus, as noted before, some constraints with respect to representation – of region, gender, ethnicity, etc). Under this model, part of an individual </w:t>
      </w:r>
      <w:proofErr w:type="spellStart"/>
      <w:r>
        <w:rPr>
          <w:rFonts w:ascii="Times New Roman" w:hAnsi="Times New Roman"/>
          <w:sz w:val="22"/>
        </w:rPr>
        <w:t>MP’s</w:t>
      </w:r>
      <w:proofErr w:type="spellEnd"/>
      <w:r>
        <w:rPr>
          <w:rFonts w:ascii="Times New Roman" w:hAnsi="Times New Roman"/>
          <w:sz w:val="22"/>
        </w:rPr>
        <w:t xml:space="preserve"> calculation to dissent is based on a utility curve that considers regional factors (i.e. likelihood of re-election versus the issue at hand), but also </w:t>
      </w:r>
      <w:r w:rsidR="00E05BB3">
        <w:rPr>
          <w:rFonts w:ascii="Times New Roman" w:hAnsi="Times New Roman"/>
          <w:sz w:val="22"/>
        </w:rPr>
        <w:t xml:space="preserve">considers such issues as personal advancement within the party. Naturally, their advancement in the party depends on their ability to remain an elected representative of their constituency, but that is by no means the primary consideration on any one vote. Thus, this view of MP activities implicates that MPs do not (by any means) always act in a </w:t>
      </w:r>
      <w:proofErr w:type="gramStart"/>
      <w:r w:rsidR="00E05BB3">
        <w:rPr>
          <w:rFonts w:ascii="Times New Roman" w:hAnsi="Times New Roman"/>
          <w:sz w:val="22"/>
        </w:rPr>
        <w:t>regionally-considered</w:t>
      </w:r>
      <w:proofErr w:type="gramEnd"/>
      <w:r w:rsidR="00E05BB3">
        <w:rPr>
          <w:rFonts w:ascii="Times New Roman" w:hAnsi="Times New Roman"/>
          <w:sz w:val="22"/>
        </w:rPr>
        <w:t xml:space="preserve"> manner.</w:t>
      </w:r>
    </w:p>
    <w:p w:rsidR="00E05BB3" w:rsidRDefault="00E05BB3" w:rsidP="00AA291E">
      <w:pPr>
        <w:ind w:firstLine="720"/>
        <w:rPr>
          <w:rFonts w:ascii="Times New Roman" w:hAnsi="Times New Roman"/>
          <w:sz w:val="22"/>
        </w:rPr>
      </w:pPr>
      <w:r>
        <w:rPr>
          <w:rFonts w:ascii="Times New Roman" w:hAnsi="Times New Roman"/>
          <w:sz w:val="22"/>
        </w:rPr>
        <w:t xml:space="preserve">Finally, the Senate poses some issues with regional representation as well. Though constitutional convention requires regional representation (which has its own issues due to significant changes in the patterns of the Canadian population), </w:t>
      </w:r>
      <w:r w:rsidR="00861C4A">
        <w:rPr>
          <w:rFonts w:ascii="Times New Roman" w:hAnsi="Times New Roman"/>
          <w:sz w:val="22"/>
        </w:rPr>
        <w:t xml:space="preserve">Canada has a very weak intrastate federal institution in its Senate. Unlike Senates of Australia or the US, which provide direct representation of citizens of the various constituent units, the Canadian Senate offers no such representation. </w:t>
      </w:r>
      <w:r w:rsidR="003478DF">
        <w:rPr>
          <w:rFonts w:ascii="Times New Roman" w:hAnsi="Times New Roman"/>
          <w:sz w:val="22"/>
        </w:rPr>
        <w:t xml:space="preserve">Moreover, </w:t>
      </w:r>
      <w:r w:rsidR="0052157B">
        <w:rPr>
          <w:rFonts w:ascii="Times New Roman" w:hAnsi="Times New Roman"/>
          <w:sz w:val="22"/>
        </w:rPr>
        <w:t>the institution is further weakened by strict party adherence/control in decisions and actions within the chamber of sober second thought (</w:t>
      </w:r>
      <w:proofErr w:type="spellStart"/>
      <w:r w:rsidR="0052157B">
        <w:rPr>
          <w:rFonts w:ascii="Times New Roman" w:hAnsi="Times New Roman"/>
          <w:sz w:val="22"/>
        </w:rPr>
        <w:t>Gibbins</w:t>
      </w:r>
      <w:proofErr w:type="spellEnd"/>
      <w:r w:rsidR="0052157B">
        <w:rPr>
          <w:rFonts w:ascii="Times New Roman" w:hAnsi="Times New Roman"/>
          <w:sz w:val="22"/>
        </w:rPr>
        <w:t>, 1997).</w:t>
      </w:r>
    </w:p>
    <w:p w:rsidR="00CB463D" w:rsidRPr="001B6ECB" w:rsidRDefault="00E05BB3" w:rsidP="00E05BB3">
      <w:pPr>
        <w:ind w:firstLine="720"/>
        <w:rPr>
          <w:rFonts w:ascii="Times New Roman" w:hAnsi="Times New Roman"/>
          <w:sz w:val="22"/>
        </w:rPr>
      </w:pPr>
      <w:r>
        <w:rPr>
          <w:rFonts w:ascii="Times New Roman" w:hAnsi="Times New Roman"/>
          <w:sz w:val="22"/>
        </w:rPr>
        <w:t xml:space="preserve">While these views are not necessarily shared by all </w:t>
      </w:r>
      <w:r w:rsidR="001B6ECB">
        <w:rPr>
          <w:rFonts w:ascii="Times New Roman" w:hAnsi="Times New Roman"/>
          <w:sz w:val="22"/>
        </w:rPr>
        <w:t xml:space="preserve">(i.e. Herman </w:t>
      </w:r>
      <w:proofErr w:type="spellStart"/>
      <w:r w:rsidR="001B6ECB">
        <w:rPr>
          <w:rFonts w:ascii="Times New Roman" w:hAnsi="Times New Roman"/>
          <w:sz w:val="22"/>
        </w:rPr>
        <w:t>Bakvis</w:t>
      </w:r>
      <w:proofErr w:type="spellEnd"/>
      <w:r w:rsidR="001B6ECB">
        <w:rPr>
          <w:rFonts w:ascii="Times New Roman" w:hAnsi="Times New Roman"/>
          <w:sz w:val="22"/>
        </w:rPr>
        <w:t xml:space="preserve">, in his book </w:t>
      </w:r>
      <w:r w:rsidR="001B6ECB">
        <w:rPr>
          <w:rFonts w:ascii="Times New Roman" w:hAnsi="Times New Roman"/>
          <w:i/>
          <w:sz w:val="22"/>
        </w:rPr>
        <w:t>Regional Ministers</w:t>
      </w:r>
      <w:r w:rsidR="00861C4A">
        <w:rPr>
          <w:rFonts w:ascii="Times New Roman" w:hAnsi="Times New Roman"/>
          <w:sz w:val="22"/>
        </w:rPr>
        <w:t>, argued that the role of regional ministers has been undervalued</w:t>
      </w:r>
      <w:r w:rsidR="009E58A2">
        <w:rPr>
          <w:rFonts w:ascii="Times New Roman" w:hAnsi="Times New Roman"/>
          <w:sz w:val="22"/>
        </w:rPr>
        <w:t xml:space="preserve">; while </w:t>
      </w:r>
      <w:proofErr w:type="spellStart"/>
      <w:r w:rsidR="009E58A2">
        <w:rPr>
          <w:rFonts w:ascii="Times New Roman" w:hAnsi="Times New Roman"/>
          <w:sz w:val="22"/>
        </w:rPr>
        <w:t>Soroka</w:t>
      </w:r>
      <w:proofErr w:type="spellEnd"/>
      <w:r w:rsidR="009E58A2">
        <w:rPr>
          <w:rFonts w:ascii="Times New Roman" w:hAnsi="Times New Roman"/>
          <w:sz w:val="22"/>
        </w:rPr>
        <w:t xml:space="preserve"> et al., 2009, point to the fact that constituencies may in fact have a greater influence on MP behaviour in Parliament than previously suggested in the literature</w:t>
      </w:r>
      <w:r w:rsidR="001B6ECB">
        <w:rPr>
          <w:rFonts w:ascii="Times New Roman" w:hAnsi="Times New Roman"/>
          <w:sz w:val="22"/>
        </w:rPr>
        <w:t xml:space="preserve">) </w:t>
      </w:r>
      <w:r>
        <w:rPr>
          <w:rFonts w:ascii="Times New Roman" w:hAnsi="Times New Roman"/>
          <w:sz w:val="22"/>
        </w:rPr>
        <w:t xml:space="preserve">these three considerations </w:t>
      </w:r>
      <w:r w:rsidR="009E58A2">
        <w:rPr>
          <w:rFonts w:ascii="Times New Roman" w:hAnsi="Times New Roman"/>
          <w:sz w:val="22"/>
        </w:rPr>
        <w:t>–</w:t>
      </w:r>
      <w:r>
        <w:rPr>
          <w:rFonts w:ascii="Times New Roman" w:hAnsi="Times New Roman"/>
          <w:sz w:val="22"/>
        </w:rPr>
        <w:t xml:space="preserve"> </w:t>
      </w:r>
      <w:r w:rsidR="009E58A2">
        <w:rPr>
          <w:rFonts w:ascii="Times New Roman" w:hAnsi="Times New Roman"/>
          <w:sz w:val="22"/>
        </w:rPr>
        <w:t>evolution of court government, MP behaviour that may undermine constituency-based decision-making, and issues of representation within the Senate – together have impacted how federalism has evolved in Canada.</w:t>
      </w:r>
      <w:r w:rsidR="003478DF">
        <w:rPr>
          <w:rFonts w:ascii="Times New Roman" w:hAnsi="Times New Roman"/>
          <w:sz w:val="22"/>
        </w:rPr>
        <w:t xml:space="preserve"> Smiley and Watts (1985) argued that effective intrastate federalism will ultimately depend on the degree to which cabinet and Westminster institutions are able to embody and express intrastate federalism in its composition, its decision making processes, and its political and administrative roles.</w:t>
      </w:r>
      <w:r w:rsidR="009E58A2">
        <w:rPr>
          <w:rFonts w:ascii="Times New Roman" w:hAnsi="Times New Roman"/>
          <w:sz w:val="22"/>
        </w:rPr>
        <w:t xml:space="preserve"> </w:t>
      </w:r>
      <w:r w:rsidR="003478DF">
        <w:rPr>
          <w:rFonts w:ascii="Times New Roman" w:hAnsi="Times New Roman"/>
          <w:sz w:val="22"/>
        </w:rPr>
        <w:t>However, the evidence suggests that this is less and less the case. With</w:t>
      </w:r>
      <w:r w:rsidR="00861C4A">
        <w:rPr>
          <w:rFonts w:ascii="Times New Roman" w:hAnsi="Times New Roman"/>
          <w:sz w:val="22"/>
        </w:rPr>
        <w:t xml:space="preserve"> limited opportunity for formal representation of provincial interests in federal policymaking institutions, and </w:t>
      </w:r>
      <w:r w:rsidR="009E58A2">
        <w:rPr>
          <w:rFonts w:ascii="Times New Roman" w:hAnsi="Times New Roman"/>
          <w:sz w:val="22"/>
        </w:rPr>
        <w:t xml:space="preserve">with </w:t>
      </w:r>
      <w:r w:rsidR="00861C4A">
        <w:rPr>
          <w:rFonts w:ascii="Times New Roman" w:hAnsi="Times New Roman"/>
          <w:sz w:val="22"/>
        </w:rPr>
        <w:t>some</w:t>
      </w:r>
      <w:r w:rsidR="009E58A2">
        <w:rPr>
          <w:rFonts w:ascii="Times New Roman" w:hAnsi="Times New Roman"/>
          <w:sz w:val="22"/>
        </w:rPr>
        <w:t xml:space="preserve"> decline of the force of regional concerns in traditional mechanisms within the Westminster parliamentary system,</w:t>
      </w:r>
      <w:r w:rsidR="003478DF">
        <w:rPr>
          <w:rFonts w:ascii="Times New Roman" w:hAnsi="Times New Roman"/>
          <w:sz w:val="22"/>
        </w:rPr>
        <w:t xml:space="preserve"> </w:t>
      </w:r>
      <w:r w:rsidR="003478DF">
        <w:rPr>
          <w:rFonts w:ascii="Times New Roman" w:hAnsi="Times New Roman"/>
          <w:i/>
          <w:sz w:val="22"/>
        </w:rPr>
        <w:t>inter</w:t>
      </w:r>
      <w:r w:rsidR="003478DF">
        <w:rPr>
          <w:rFonts w:ascii="Times New Roman" w:hAnsi="Times New Roman"/>
          <w:sz w:val="22"/>
        </w:rPr>
        <w:t>state federalism has emerged as an increasingly important avenue through which to discuss and consider regional concerns. As such,</w:t>
      </w:r>
      <w:r w:rsidR="009E58A2">
        <w:rPr>
          <w:rFonts w:ascii="Times New Roman" w:hAnsi="Times New Roman"/>
          <w:sz w:val="22"/>
        </w:rPr>
        <w:t xml:space="preserve"> provincial premiers and their governments have been increasingly implicated as important political figures in meting out regional concerns in politics. </w:t>
      </w:r>
      <w:r w:rsidR="001B6ECB">
        <w:rPr>
          <w:rFonts w:ascii="Times New Roman" w:hAnsi="Times New Roman"/>
          <w:sz w:val="22"/>
        </w:rPr>
        <w:t xml:space="preserve"> </w:t>
      </w:r>
    </w:p>
    <w:p w:rsidR="0031683A" w:rsidRDefault="00E1606D" w:rsidP="00E1606D">
      <w:pPr>
        <w:rPr>
          <w:rFonts w:ascii="Times New Roman" w:hAnsi="Times New Roman"/>
          <w:sz w:val="22"/>
        </w:rPr>
      </w:pPr>
      <w:r>
        <w:rPr>
          <w:rFonts w:ascii="Times New Roman" w:hAnsi="Times New Roman"/>
          <w:sz w:val="22"/>
        </w:rPr>
        <w:tab/>
      </w:r>
      <w:r w:rsidR="0052157B">
        <w:rPr>
          <w:rFonts w:ascii="Times New Roman" w:hAnsi="Times New Roman"/>
          <w:sz w:val="22"/>
        </w:rPr>
        <w:t xml:space="preserve">It would be a gross mischaracterization to suggest that the changing nature of federal-provincial relations is due entirely (or even largely) to the implications of a weakening intrastate federalism in the Westminster system. Executive federalism, or federal-provincial diplomacy, has long been a defining feature of Canadian intergovernmental relations (Cameron and Simeon, 2002). </w:t>
      </w:r>
      <w:r w:rsidR="00AA562C">
        <w:rPr>
          <w:rFonts w:ascii="Times New Roman" w:hAnsi="Times New Roman"/>
          <w:sz w:val="22"/>
        </w:rPr>
        <w:t xml:space="preserve">Whether viewed in the lens of the influences of province-building, or under the above considerations of changing forces in Ottawa’s Westminster system, </w:t>
      </w:r>
      <w:r w:rsidR="00113877">
        <w:rPr>
          <w:rFonts w:ascii="Times New Roman" w:hAnsi="Times New Roman"/>
          <w:sz w:val="22"/>
        </w:rPr>
        <w:t>the face of Canadian intergovernmental relations have changed. Moving from a period of consultative federalism – where the exclusive decision making powers rest with one level (the federal) of government (Smiley, 1964), to cooperative federalism (Ottawa-led, and provincially-followed), to one of collaborative federalism (there are a few other federalisms that could be thrown in here, but will not be for the sake of brevity). This new form of federalism, as Simeon and Cameron see it, can take one of two forms. The first has federal, provincial, and territorial governments working together in a balance, while the second form has provinces and territories acting together, with Ottawa at the sidelines. With the increased relative power of premiers, both in relation to Ottawa, and more generally, the second form is more and more frequently taking place (i.e. such as the National Energy Strategy being proposed by Alberta Premier Allison Redford). Intergovernmental relations have moved from a top-down relationship between federal government and provinces, to a much more equal playing field, due in part to the inability of the Westminster parliamentary system to appropriately respond to regional considerations within its institutions.</w:t>
      </w:r>
    </w:p>
    <w:p w:rsidR="00E1606D" w:rsidRPr="00E1606D" w:rsidRDefault="0031683A" w:rsidP="00E1606D">
      <w:pPr>
        <w:rPr>
          <w:rFonts w:ascii="Times New Roman" w:hAnsi="Times New Roman"/>
          <w:sz w:val="22"/>
        </w:rPr>
      </w:pPr>
      <w:r>
        <w:rPr>
          <w:rFonts w:ascii="Times New Roman" w:hAnsi="Times New Roman"/>
          <w:sz w:val="22"/>
        </w:rPr>
        <w:tab/>
        <w:t xml:space="preserve">It is also important to quickly note that similar trends within provincial cabinets – especially with respect to the increasing centralization of decision-making power in the Premier, and the similar </w:t>
      </w:r>
      <w:proofErr w:type="spellStart"/>
      <w:r>
        <w:rPr>
          <w:rFonts w:ascii="Times New Roman" w:hAnsi="Times New Roman"/>
          <w:sz w:val="22"/>
        </w:rPr>
        <w:t>behavioural</w:t>
      </w:r>
      <w:proofErr w:type="spellEnd"/>
      <w:r>
        <w:rPr>
          <w:rFonts w:ascii="Times New Roman" w:hAnsi="Times New Roman"/>
          <w:sz w:val="22"/>
        </w:rPr>
        <w:t xml:space="preserve"> considerations of Members of Provincial Parliament – complement this move to a stronger type of executive federalism that is playing itself out in our modified system of collaborative federalism. Increased power in the centre at both the federal and provincial levels makes it easier justify and undertake federal-provincial relations in some respects, as it is increasingly efficient to do political business in this way. This only acts to reinforce some the trends of the last 40 years in both the Westminster parliamentary system, and Canadian federalism more generally.</w:t>
      </w:r>
    </w:p>
    <w:sectPr w:rsidR="00E1606D" w:rsidRPr="00E1606D" w:rsidSect="00E1606D">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0EA"/>
    <w:multiLevelType w:val="hybridMultilevel"/>
    <w:tmpl w:val="92DEE0FC"/>
    <w:lvl w:ilvl="0" w:tplc="373AFFEC">
      <w:start w:val="10"/>
      <w:numFmt w:val="bullet"/>
      <w:lvlText w:val="-"/>
      <w:lvlJc w:val="left"/>
      <w:pPr>
        <w:ind w:left="1080" w:hanging="360"/>
      </w:pPr>
      <w:rPr>
        <w:rFonts w:ascii="Times New Roman" w:eastAsiaTheme="minorHAnsi" w:hAnsi="Times New Roman"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606D"/>
    <w:rsid w:val="00113877"/>
    <w:rsid w:val="001B6ECB"/>
    <w:rsid w:val="0031683A"/>
    <w:rsid w:val="003478DF"/>
    <w:rsid w:val="0052157B"/>
    <w:rsid w:val="005955C8"/>
    <w:rsid w:val="00800DA6"/>
    <w:rsid w:val="00861C4A"/>
    <w:rsid w:val="009E58A2"/>
    <w:rsid w:val="00AA291E"/>
    <w:rsid w:val="00AA562C"/>
    <w:rsid w:val="00CB463D"/>
    <w:rsid w:val="00E05BB3"/>
    <w:rsid w:val="00E1606D"/>
    <w:rsid w:val="00EF040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160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1378</Words>
  <Characters>7858</Characters>
  <Application>Microsoft Macintosh Word</Application>
  <DocSecurity>0</DocSecurity>
  <Lines>65</Lines>
  <Paragraphs>15</Paragraphs>
  <ScaleCrop>false</ScaleCrop>
  <LinksUpToDate>false</LinksUpToDate>
  <CharactersWithSpaces>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2012-05-13T20:58:00Z</dcterms:created>
  <dcterms:modified xsi:type="dcterms:W3CDTF">2012-05-14T00:48:00Z</dcterms:modified>
</cp:coreProperties>
</file>